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321.0" w:type="dxa"/>
        <w:jc w:val="center"/>
        <w:tblLayout w:type="fixed"/>
        <w:tblLook w:val="0000"/>
      </w:tblPr>
      <w:tblGrid>
        <w:gridCol w:w="2032"/>
        <w:gridCol w:w="2422"/>
        <w:gridCol w:w="5867"/>
        <w:tblGridChange w:id="0">
          <w:tblGrid>
            <w:gridCol w:w="2032"/>
            <w:gridCol w:w="2422"/>
            <w:gridCol w:w="5867"/>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sz w:val="22"/>
                <w:szCs w:val="22"/>
              </w:rPr>
            </w:pPr>
            <w:r w:rsidDel="00000000" w:rsidR="00000000" w:rsidRPr="00000000">
              <w:rPr>
                <w:rFonts w:ascii="Arial" w:cs="Arial" w:eastAsia="Arial" w:hAnsi="Arial"/>
                <w:b w:val="1"/>
                <w:bCs w:val="1"/>
                <w:color w:val="000000"/>
                <w:sz w:val="22"/>
                <w:szCs w:val="22"/>
                <w:rtl w:val="0"/>
              </w:rPr>
              <w:t xml:space="preserve">SECRETARIA DEL DEPORTE Y LA RECREACIÓN - </w:t>
            </w:r>
            <w:r w:rsidDel="00000000" w:rsidR="00000000" w:rsidRPr="00000000">
              <w:rPr>
                <w:rFonts w:ascii="Arial" w:cs="Arial" w:eastAsia="Arial" w:hAnsi="Arial"/>
                <w:b w:val="1"/>
                <w:bCs w:val="1"/>
                <w:sz w:val="22"/>
                <w:szCs w:val="22"/>
                <w:rtl w:val="0"/>
              </w:rPr>
              <w:t xml:space="preserve">SUBSECRETARÍA</w:t>
            </w:r>
            <w:r w:rsidDel="00000000" w:rsidR="00000000" w:rsidRPr="00000000">
              <w:rPr>
                <w:rFonts w:ascii="Arial" w:cs="Arial" w:eastAsia="Arial" w:hAnsi="Arial"/>
                <w:b w:val="1"/>
                <w:bCs w:val="1"/>
                <w:color w:val="000000"/>
                <w:sz w:val="22"/>
                <w:szCs w:val="22"/>
                <w:rtl w:val="0"/>
              </w:rPr>
              <w:t xml:space="preserve"> DE INFRAESTRUCTURA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ind w:right="-1990"/>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conservación de la Infraestructura deportiva y Recreativa del Distrito especial de Santiago de Cali BP-26005399</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.4162.010.26.1.45982025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highlight w:val="yellow"/>
              </w:rPr>
            </w:pPr>
            <w:r w:rsidDel="00000000" w:rsidR="00000000" w:rsidRPr="00000000">
              <w:rPr>
                <w:rFonts w:ascii="Arial" w:cs="Arial" w:eastAsia="Arial" w:hAnsi="Arial"/>
                <w:rtl w:val="0"/>
              </w:rPr>
              <w:t xml:space="preserve">Krysthian David  Ramírez Munevar </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Francy Elena Fernández Gómez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66.817.102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$10.890.000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12/</w:t>
            </w:r>
            <w:r w:rsidDel="00000000" w:rsidR="00000000" w:rsidRPr="00000000">
              <w:rPr>
                <w:rFonts w:ascii="Arial" w:cs="Arial" w:eastAsia="Arial" w:hAnsi="Arial"/>
                <w:rtl w:val="0"/>
              </w:rPr>
              <w:t xml:space="preserve">N</w:t>
            </w:r>
            <w:r w:rsidDel="00000000" w:rsidR="00000000" w:rsidRPr="00000000">
              <w:rPr>
                <w:rFonts w:ascii="Arial" w:cs="Arial" w:eastAsia="Arial" w:hAnsi="Arial"/>
                <w:color w:val="000000"/>
                <w:rtl w:val="0"/>
              </w:rPr>
              <w:t xml:space="preserve">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w:t>
            </w:r>
            <w:r w:rsidDel="00000000" w:rsidR="00000000" w:rsidRPr="00000000">
              <w:rPr>
                <w:rFonts w:ascii="Arial" w:cs="Arial" w:eastAsia="Arial" w:hAnsi="Arial"/>
                <w:rtl w:val="0"/>
              </w:rPr>
              <w:t xml:space="preserve">D</w:t>
            </w:r>
            <w:r w:rsidDel="00000000" w:rsidR="00000000" w:rsidRPr="00000000">
              <w:rPr>
                <w:rFonts w:ascii="Arial" w:cs="Arial" w:eastAsia="Arial" w:hAnsi="Arial"/>
                <w:color w:val="000000"/>
                <w:rtl w:val="0"/>
              </w:rPr>
              <w:t xml:space="preserve">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$2.178.000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1077174317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8822885365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28/Nov/202</w:t>
            </w:r>
            <w:r w:rsidDel="00000000" w:rsidR="00000000" w:rsidRPr="00000000">
              <w:rPr>
                <w:rFonts w:ascii="Arial" w:cs="Arial" w:eastAsia="Arial" w:hAnsi="Arial"/>
                <w:color w:val="000000"/>
                <w:rtl w:val="0"/>
              </w:rPr>
              <w:t xml:space="preserve">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Diciembre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tl w:val="0"/>
              </w:rPr>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1.Acompañar a los equipos de la Secretaría del Deporte en las mesas técnicas de planeación, implementación y seguimiento a las políticas públicas</w:t>
            </w:r>
            <w:r w:rsidDel="00000000" w:rsidR="00000000" w:rsidRPr="00000000">
              <w:rPr>
                <w:color w:val="000000"/>
                <w:rtl w:val="0"/>
              </w:rPr>
              <w:t xml:space="preserve">.</w:t>
            </w:r>
          </w:p>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 </w:t>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ind w:left="28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2.Realizar la articulación con los enlaces de otros organismos de la administración para gestionar la información relacionada con los indicadores de políticas públicas en donde la Secretaría del Deporte y la Recreación es corresponsable de su cumplimiento.</w:t>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ind w:left="64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ind w:left="64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ind w:left="64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ind w:left="64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ind w:left="64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ind w:left="64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ind w:left="64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Actualizar las bases de datos de los    indicadores para la preparación de informes de políticas públicas que sean requeridos</w:t>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ind w:left="64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ind w:left="64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rPr>
                <w:color w:val="000000"/>
              </w:rPr>
            </w:pPr>
            <w:r w:rsidDel="00000000" w:rsidR="00000000" w:rsidRPr="00000000">
              <w:rPr>
                <w:rFonts w:ascii="Arial" w:cs="Arial" w:eastAsia="Arial" w:hAnsi="Arial"/>
                <w:color w:val="000000"/>
                <w:rtl w:val="0"/>
              </w:rPr>
              <w:t xml:space="preserve">4.Gestionar las solicitudes y respuestas de los oficios a través de la plataforma ORFEO que son propios del proceso de políticas públicas</w:t>
            </w:r>
            <w:r w:rsidDel="00000000" w:rsidR="00000000" w:rsidRPr="00000000">
              <w:rPr>
                <w:rtl w:val="0"/>
              </w:rPr>
            </w:r>
          </w:p>
          <w:p w:rsidR="00000000" w:rsidDel="00000000" w:rsidP="00000000" w:rsidRDefault="00000000" w:rsidRPr="00000000" w14:paraId="00000059">
            <w:pPr>
              <w:rPr>
                <w:color w:val="000000"/>
              </w:rPr>
            </w:pP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color w:val="000000"/>
                <w:rtl w:val="0"/>
              </w:rPr>
              <w:t xml:space="preserve">5.</w:t>
            </w:r>
            <w:r w:rsidDel="00000000" w:rsidR="00000000" w:rsidRPr="00000000">
              <w:rPr>
                <w:rFonts w:ascii="Arial" w:cs="Arial" w:eastAsia="Arial" w:hAnsi="Arial"/>
                <w:color w:val="000000"/>
                <w:rtl w:val="0"/>
              </w:rPr>
              <w:t xml:space="preserve">Participar en la Mesa Interdisciplinaria de Trabajo para el análisis de la base de datos de infraestructura deportivas de la ciudad</w:t>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ind w:left="641"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ind w:left="641"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ind w:left="641"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6.Las demás que le sean </w:t>
            </w:r>
            <w:r w:rsidDel="00000000" w:rsidR="00000000" w:rsidRPr="00000000">
              <w:rPr>
                <w:rFonts w:ascii="Arial" w:cs="Arial" w:eastAsia="Arial" w:hAnsi="Arial"/>
                <w:rtl w:val="0"/>
              </w:rPr>
              <w:t xml:space="preserve">asignadas</w:t>
            </w:r>
            <w:r w:rsidDel="00000000" w:rsidR="00000000" w:rsidRPr="00000000">
              <w:rPr>
                <w:rFonts w:ascii="Arial" w:cs="Arial" w:eastAsia="Arial" w:hAnsi="Arial"/>
                <w:color w:val="000000"/>
                <w:rtl w:val="0"/>
              </w:rPr>
              <w:t xml:space="preserve"> en desarrollo del objeto contractual</w:t>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C">
            <w:pPr>
              <w:widowControl w:val="1"/>
              <w:numPr>
                <w:ilvl w:val="1"/>
                <w:numId w:val="1"/>
              </w:numPr>
              <w:pBdr>
                <w:top w:space="0" w:sz="0" w:val="nil"/>
                <w:left w:space="0" w:sz="0" w:val="nil"/>
                <w:bottom w:space="0" w:sz="0" w:val="nil"/>
                <w:right w:space="0" w:sz="0" w:val="nil"/>
                <w:between w:space="0" w:sz="0" w:val="nil"/>
              </w:pBdr>
              <w:ind w:left="360" w:hanging="360"/>
              <w:rPr>
                <w:rFonts w:ascii="Arial" w:cs="Arial" w:eastAsia="Arial" w:hAnsi="Arial"/>
                <w:color w:val="000000"/>
              </w:rPr>
            </w:pPr>
            <w:r w:rsidDel="00000000" w:rsidR="00000000" w:rsidRPr="00000000">
              <w:rPr>
                <w:rFonts w:ascii="Arial" w:cs="Arial" w:eastAsia="Arial" w:hAnsi="Arial"/>
                <w:color w:val="000000"/>
                <w:rtl w:val="0"/>
              </w:rPr>
              <w:t xml:space="preserve">Acompañé al equipo de la Subsecretaría de Fomento a la VII Sesión Del Consejo Consultivo de Cultura Ciudadana (informe impacto ciclovía). (Anexo 1.1)</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2.1 Asistí </w:t>
            </w:r>
            <w:r w:rsidDel="00000000" w:rsidR="00000000" w:rsidRPr="00000000">
              <w:rPr>
                <w:rFonts w:ascii="Arial" w:cs="Arial" w:eastAsia="Arial" w:hAnsi="Arial"/>
                <w:color w:val="000000"/>
                <w:rtl w:val="0"/>
              </w:rPr>
              <w:t xml:space="preserve">a la III Sesión del Comité Territorial de Justicia Transicional dando cumplimiento a lo ordenado en la Ley 1448 de 2011(Anexo 2.1)</w:t>
            </w:r>
          </w:p>
          <w:p w:rsidR="00000000" w:rsidDel="00000000" w:rsidP="00000000" w:rsidRDefault="00000000" w:rsidRPr="00000000" w14:paraId="0000007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2.2. Asistí a la IV Sesión Ordinaria de los </w:t>
            </w:r>
            <w:r w:rsidDel="00000000" w:rsidR="00000000" w:rsidRPr="00000000">
              <w:rPr>
                <w:rFonts w:ascii="Arial" w:cs="Arial" w:eastAsia="Arial" w:hAnsi="Arial"/>
                <w:rtl w:val="0"/>
              </w:rPr>
              <w:t xml:space="preserve">Subcomités</w:t>
            </w:r>
            <w:r w:rsidDel="00000000" w:rsidR="00000000" w:rsidRPr="00000000">
              <w:rPr>
                <w:rFonts w:ascii="Arial" w:cs="Arial" w:eastAsia="Arial" w:hAnsi="Arial"/>
                <w:color w:val="000000"/>
                <w:rtl w:val="0"/>
              </w:rPr>
              <w:t xml:space="preserve"> de Atención y Asistencia, Sistemas de Información y Medidas de Rehabilitación (Anexo 2.2.)</w:t>
            </w:r>
          </w:p>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2.3. Asistí a la IV Sesión Ordinaria de los Subcomité de Enfoque Diferencial, Reparación y Prevención y Protección (anexo 2.3)</w:t>
            </w:r>
          </w:p>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2.4 Asistí a reunión mensual con la Secretaría de Paz, para revisión de las acciones de seguimiento al cumplimiento de la Sentencia SU-020 de 2022 de la Corte Constitucional (Anexo 2.4)</w:t>
            </w:r>
          </w:p>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2.5 Asistí a reunión de mensual con la Personería de Cali, quien realiza en seguimiento al cumplimiento de la Sentencia SU-020 de 2022 (Anexo 2.5) </w:t>
            </w:r>
          </w:p>
          <w:p w:rsidR="00000000" w:rsidDel="00000000" w:rsidP="00000000" w:rsidRDefault="00000000" w:rsidRPr="00000000" w14:paraId="0000007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3.1 Elaboré la matriz de seguimiento al Plan Operativo Anual de Inversiones POAI 2026 para las Víctimas del Conflicto asentadas en Cali, para el cumplimiento de la Ley 1448 de 2011 (Anexo 3.1)</w:t>
            </w:r>
          </w:p>
          <w:p w:rsidR="00000000" w:rsidDel="00000000" w:rsidP="00000000" w:rsidRDefault="00000000" w:rsidRPr="00000000" w14:paraId="0000007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4.1 Colaboré en la elaboración de diferentes oficios enviados por la plataforma Orfeo (Anexo 4.1)</w:t>
            </w:r>
          </w:p>
          <w:p w:rsidR="00000000" w:rsidDel="00000000" w:rsidP="00000000" w:rsidRDefault="00000000" w:rsidRPr="00000000" w14:paraId="0000007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5.1 Presenté las acciones que dan cumplimiento a la Política Pública de la mujer, subrayando la importancia de garantizar la igualdad y la inclusión en el uso y disfrute de los escenarios deportivos contribuyendo a eliminar brechas y desigualdades, promoviendo condiciones equitativas (Anexo 5.1)</w:t>
            </w:r>
          </w:p>
          <w:p w:rsidR="00000000" w:rsidDel="00000000" w:rsidP="00000000" w:rsidRDefault="00000000" w:rsidRPr="00000000" w14:paraId="0000008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widowControl w:val="1"/>
              <w:ind w:left="0" w:firstLine="0"/>
              <w:jc w:val="both"/>
              <w:rPr>
                <w:rFonts w:ascii="Arial" w:cs="Arial" w:eastAsia="Arial" w:hAnsi="Arial"/>
              </w:rPr>
            </w:pPr>
            <w:r w:rsidDel="00000000" w:rsidR="00000000" w:rsidRPr="00000000">
              <w:rPr>
                <w:rFonts w:ascii="Arial" w:cs="Arial" w:eastAsia="Arial" w:hAnsi="Arial"/>
                <w:rtl w:val="0"/>
              </w:rPr>
              <w:t xml:space="preserve">6.1. Asistí a Mesa Técnica Distrital de Víctimas citada por la Personería de Cali para revisión del POAI 2026 (presupuesto para las víctimas)</w:t>
            </w:r>
          </w:p>
          <w:p w:rsidR="00000000" w:rsidDel="00000000" w:rsidP="00000000" w:rsidRDefault="00000000" w:rsidRPr="00000000" w14:paraId="00000086">
            <w:pPr>
              <w:rPr>
                <w:rFonts w:ascii="Arial" w:cs="Arial" w:eastAsia="Arial" w:hAnsi="Arial"/>
              </w:rPr>
            </w:pPr>
            <w:r w:rsidDel="00000000" w:rsidR="00000000" w:rsidRPr="00000000">
              <w:rPr>
                <w:rtl w:val="0"/>
              </w:rPr>
            </w:r>
          </w:p>
          <w:p w:rsidR="00000000" w:rsidDel="00000000" w:rsidP="00000000" w:rsidRDefault="00000000" w:rsidRPr="00000000" w14:paraId="00000087">
            <w:pPr>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rPr>
                <w:rFonts w:ascii="Arial" w:cs="Arial" w:eastAsia="Arial" w:hAnsi="Arial"/>
                <w:color w:val="000000"/>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94">
            <w:pPr>
              <w:widowControl w:val="1"/>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https://drive.google.com/drive/folders/1CrqnZClWOxR__BTsqZhC2toAPZuwRMsI?usp=drive_link</w:t>
              </w:r>
            </w:hyperlink>
            <w:r w:rsidDel="00000000" w:rsidR="00000000" w:rsidRPr="00000000">
              <w:rPr>
                <w:rtl w:val="0"/>
              </w:rPr>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96">
            <w:pPr>
              <w:rPr>
                <w:rFonts w:ascii="Arial" w:cs="Arial" w:eastAsia="Arial" w:hAnsi="Arial"/>
                <w:sz w:val="12"/>
                <w:szCs w:val="12"/>
              </w:rPr>
            </w:pPr>
            <w:bookmarkStart w:colFirst="0" w:colLast="0" w:name="_heading=h.j1mqibmvovhy" w:id="0"/>
            <w:bookmarkEnd w:id="0"/>
            <w:r w:rsidDel="00000000" w:rsidR="00000000" w:rsidRPr="00000000">
              <w:rPr>
                <w:rtl w:val="0"/>
              </w:rPr>
            </w:r>
          </w:p>
          <w:p w:rsidR="00000000" w:rsidDel="00000000" w:rsidP="00000000" w:rsidRDefault="00000000" w:rsidRPr="00000000" w14:paraId="00000097">
            <w:pPr>
              <w:rPr>
                <w:rFonts w:ascii="Arial" w:cs="Arial" w:eastAsia="Arial" w:hAnsi="Arial"/>
              </w:rPr>
            </w:pPr>
            <w:r w:rsidDel="00000000" w:rsidR="00000000" w:rsidRPr="00000000">
              <w:rPr>
                <w:rtl w:val="0"/>
              </w:rPr>
            </w:r>
          </w:p>
        </w:tc>
      </w:tr>
      <w:tr>
        <w:trPr>
          <w:cantSplit w:val="0"/>
          <w:trHeight w:val="96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A">
            <w:pPr>
              <w:pBdr>
                <w:top w:space="0" w:sz="0" w:val="nil"/>
                <w:left w:space="0" w:sz="0" w:val="nil"/>
                <w:bottom w:space="0" w:sz="0" w:val="nil"/>
                <w:right w:space="0" w:sz="0" w:val="nil"/>
                <w:between w:space="0" w:sz="0" w:val="nil"/>
              </w:pBdr>
              <w:ind w:left="71" w:firstLine="0"/>
              <w:rPr>
                <w:rFonts w:ascii="Arial" w:cs="Arial" w:eastAsia="Arial" w:hAnsi="Arial"/>
                <w:color w:val="000000"/>
              </w:rPr>
            </w:pPr>
            <w:r w:rsidDel="00000000" w:rsidR="00000000" w:rsidRPr="00000000">
              <w:rPr>
                <w:rFonts w:ascii="Arial" w:cs="Arial" w:eastAsia="Arial" w:hAnsi="Arial"/>
                <w:color w:val="000000"/>
                <w:rtl w:val="0"/>
              </w:rPr>
              <w:t xml:space="preserve">N/A </w:t>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158750</wp:posOffset>
                  </wp:positionH>
                  <wp:positionV relativeFrom="paragraph">
                    <wp:posOffset>80010</wp:posOffset>
                  </wp:positionV>
                  <wp:extent cx="1219200" cy="409575"/>
                  <wp:effectExtent b="0" l="0" r="0" t="0"/>
                  <wp:wrapSquare wrapText="bothSides" distB="0" distT="0" distL="114300" distR="114300"/>
                  <wp:docPr id="4"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1219200" cy="409575"/>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bookmarkStart w:colFirst="0" w:colLast="0" w:name="_heading=h.m1wg3p7orlyr" w:id="1"/>
            <w:bookmarkEnd w:id="1"/>
            <w:r w:rsidDel="00000000" w:rsidR="00000000" w:rsidRPr="00000000">
              <w:rPr>
                <w:rFonts w:ascii="Arial" w:cs="Arial" w:eastAsia="Arial" w:hAnsi="Arial"/>
                <w:color w:val="000000"/>
                <w:rtl w:val="0"/>
              </w:rPr>
              <w:t xml:space="preserve">19/Dic/2025</w:t>
            </w:r>
          </w:p>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rPr>
    </w:lvl>
    <w:lvl w:ilvl="1">
      <w:start w:val="1"/>
      <w:numFmt w:val="decimal"/>
      <w:lvlText w:val="%1.%2"/>
      <w:lvlJc w:val="left"/>
      <w:pPr>
        <w:ind w:left="360" w:hanging="360"/>
      </w:pPr>
      <w:rPr>
        <w:rFonts w:ascii="Arial" w:cs="Arial" w:eastAsia="Arial" w:hAnsi="Arial"/>
      </w:rPr>
    </w:lvl>
    <w:lvl w:ilvl="2">
      <w:start w:val="1"/>
      <w:numFmt w:val="decimal"/>
      <w:lvlText w:val="%1.%2.%3"/>
      <w:lvlJc w:val="left"/>
      <w:pPr>
        <w:ind w:left="720" w:hanging="720"/>
      </w:pPr>
      <w:rPr>
        <w:rFonts w:ascii="Arial" w:cs="Arial" w:eastAsia="Arial" w:hAnsi="Arial"/>
      </w:rPr>
    </w:lvl>
    <w:lvl w:ilvl="3">
      <w:start w:val="1"/>
      <w:numFmt w:val="decimal"/>
      <w:lvlText w:val="%1.%2.%3.%4"/>
      <w:lvlJc w:val="left"/>
      <w:pPr>
        <w:ind w:left="720" w:hanging="720"/>
      </w:pPr>
      <w:rPr>
        <w:rFonts w:ascii="Arial" w:cs="Arial" w:eastAsia="Arial" w:hAnsi="Arial"/>
      </w:rPr>
    </w:lvl>
    <w:lvl w:ilvl="4">
      <w:start w:val="1"/>
      <w:numFmt w:val="decimal"/>
      <w:lvlText w:val="%1.%2.%3.%4.%5"/>
      <w:lvlJc w:val="left"/>
      <w:pPr>
        <w:ind w:left="1080" w:hanging="1080"/>
      </w:pPr>
      <w:rPr>
        <w:rFonts w:ascii="Arial" w:cs="Arial" w:eastAsia="Arial" w:hAnsi="Arial"/>
      </w:rPr>
    </w:lvl>
    <w:lvl w:ilvl="5">
      <w:start w:val="1"/>
      <w:numFmt w:val="decimal"/>
      <w:lvlText w:val="%1.%2.%3.%4.%5.%6"/>
      <w:lvlJc w:val="left"/>
      <w:pPr>
        <w:ind w:left="1080" w:hanging="1080"/>
      </w:pPr>
      <w:rPr>
        <w:rFonts w:ascii="Arial" w:cs="Arial" w:eastAsia="Arial" w:hAnsi="Arial"/>
      </w:rPr>
    </w:lvl>
    <w:lvl w:ilvl="6">
      <w:start w:val="1"/>
      <w:numFmt w:val="decimal"/>
      <w:lvlText w:val="%1.%2.%3.%4.%5.%6.%7"/>
      <w:lvlJc w:val="left"/>
      <w:pPr>
        <w:ind w:left="1440" w:hanging="1440"/>
      </w:pPr>
      <w:rPr>
        <w:rFonts w:ascii="Arial" w:cs="Arial" w:eastAsia="Arial" w:hAnsi="Arial"/>
      </w:rPr>
    </w:lvl>
    <w:lvl w:ilvl="7">
      <w:start w:val="1"/>
      <w:numFmt w:val="decimal"/>
      <w:lvlText w:val="%1.%2.%3.%4.%5.%6.%7.%8"/>
      <w:lvlJc w:val="left"/>
      <w:pPr>
        <w:ind w:left="1440" w:hanging="1440"/>
      </w:pPr>
      <w:rPr>
        <w:rFonts w:ascii="Arial" w:cs="Arial" w:eastAsia="Arial" w:hAnsi="Arial"/>
      </w:rPr>
    </w:lvl>
    <w:lvl w:ilvl="8">
      <w:start w:val="1"/>
      <w:numFmt w:val="decimal"/>
      <w:lvlText w:val="%1.%2.%3.%4.%5.%6.%7.%8.%9"/>
      <w:lvlJc w:val="left"/>
      <w:pPr>
        <w:ind w:left="1800" w:hanging="1800"/>
      </w:pPr>
      <w:rPr>
        <w:rFonts w:ascii="Arial" w:cs="Arial" w:eastAsia="Arial" w:hAnsi="Arial"/>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uiPriority w:val="1"/>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val="es-ES"/>
    </w:rPr>
  </w:style>
  <w:style w:type="character" w:styleId="Hipervnculo">
    <w:name w:val="Hyperlink"/>
    <w:basedOn w:val="Fuentedeprrafopredeter"/>
    <w:uiPriority w:val="99"/>
    <w:unhideWhenUsed w:val="1"/>
    <w:rsid w:val="007F64BB"/>
    <w:rPr>
      <w:color w:val="0563c1" w:themeColor="hyperlink"/>
      <w:u w:val="single"/>
    </w:rPr>
  </w:style>
  <w:style w:type="character" w:styleId="Mencinsinresolver1" w:customStyle="1">
    <w:name w:val="Mención sin resolver1"/>
    <w:basedOn w:val="Fuentedeprrafopredeter"/>
    <w:uiPriority w:val="99"/>
    <w:semiHidden w:val="1"/>
    <w:unhideWhenUsed w:val="1"/>
    <w:rsid w:val="00542C08"/>
    <w:rPr>
      <w:color w:val="605e5c"/>
      <w:shd w:color="auto" w:fill="e1dfdd" w:val="clear"/>
    </w:rPr>
  </w:style>
  <w:style w:type="table" w:styleId="a" w:customStyle="1">
    <w:basedOn w:val="TableNormal0"/>
    <w:tblPr>
      <w:tblStyleRowBandSize w:val="1"/>
      <w:tblStyleColBandSize w:val="1"/>
      <w:tblCellMar>
        <w:left w:w="22.0" w:type="dxa"/>
        <w:right w:w="22.0" w:type="dxa"/>
      </w:tblCellMar>
    </w:tblPr>
  </w:style>
  <w:style w:type="table" w:styleId="a0" w:customStyle="1">
    <w:basedOn w:val="TableNormal0"/>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22.0" w:type="dxa"/>
        <w:right w:w="22.0" w:type="dxa"/>
      </w:tblCellMar>
    </w:tblPr>
  </w:style>
  <w:style w:type="table" w:styleId="a2"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CrqnZClWOxR__BTsqZhC2toAPZuwRMsI?usp=drive_link"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41foxFrHWLAvUmAV1E4QUEnQpw==">CgMxLjAyDmguajFtcWlibXZvdmh5Mg5oLm0xd2czcDdvcmx5cjgAciExZnZiWG84T0lJeU9PcnZQR0RyYnFmS0hndVlkSmhReGU=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